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9"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附件1 </w:t>
      </w:r>
    </w:p>
    <w:p>
      <w:pPr>
        <w:widowControl/>
        <w:adjustRightInd w:val="0"/>
        <w:snapToGrid w:val="0"/>
        <w:spacing w:line="720" w:lineRule="exact"/>
        <w:ind w:left="720" w:hanging="720" w:hangingChars="200"/>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sz w:val="36"/>
          <w:szCs w:val="36"/>
        </w:rPr>
        <w:t>2021年度“智能网联汽车产业云”服务清单</w:t>
      </w:r>
      <w:bookmarkEnd w:id="0"/>
    </w:p>
    <w:tbl>
      <w:tblPr>
        <w:tblStyle w:val="3"/>
        <w:tblW w:w="133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6228"/>
        <w:gridCol w:w="5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shd w:val="clear" w:color="auto" w:fill="auto"/>
            <w:vAlign w:val="center"/>
          </w:tcPr>
          <w:p>
            <w:pPr>
              <w:widowControl/>
              <w:jc w:val="center"/>
              <w:rPr>
                <w:rFonts w:ascii="Times New Roman" w:hAnsi="Times New Roman" w:eastAsia="黑体" w:cs="Times New Roman"/>
                <w:bCs/>
                <w:sz w:val="28"/>
                <w:szCs w:val="28"/>
              </w:rPr>
            </w:pPr>
            <w:r>
              <w:rPr>
                <w:rFonts w:hint="eastAsia" w:ascii="Times New Roman" w:hAnsi="Times New Roman" w:eastAsia="黑体" w:cs="Times New Roman"/>
                <w:bCs/>
                <w:sz w:val="28"/>
                <w:szCs w:val="28"/>
              </w:rPr>
              <w:t>套餐类型</w:t>
            </w:r>
          </w:p>
        </w:tc>
        <w:tc>
          <w:tcPr>
            <w:tcW w:w="6228" w:type="dxa"/>
            <w:shd w:val="clear" w:color="auto" w:fill="auto"/>
            <w:vAlign w:val="center"/>
          </w:tcPr>
          <w:p>
            <w:pPr>
              <w:widowControl/>
              <w:jc w:val="center"/>
              <w:rPr>
                <w:rFonts w:ascii="Times New Roman" w:hAnsi="Times New Roman" w:eastAsia="黑体" w:cs="Times New Roman"/>
                <w:bCs/>
                <w:sz w:val="28"/>
                <w:szCs w:val="28"/>
              </w:rPr>
            </w:pPr>
            <w:r>
              <w:rPr>
                <w:rFonts w:hint="eastAsia" w:ascii="Times New Roman" w:hAnsi="Times New Roman" w:eastAsia="黑体" w:cs="Times New Roman"/>
                <w:bCs/>
                <w:sz w:val="28"/>
                <w:szCs w:val="28"/>
              </w:rPr>
              <w:t>套餐内容</w:t>
            </w:r>
          </w:p>
        </w:tc>
        <w:tc>
          <w:tcPr>
            <w:tcW w:w="5070" w:type="dxa"/>
            <w:shd w:val="clear" w:color="auto" w:fill="auto"/>
            <w:vAlign w:val="center"/>
          </w:tcPr>
          <w:p>
            <w:pPr>
              <w:widowControl/>
              <w:jc w:val="center"/>
              <w:rPr>
                <w:rFonts w:ascii="Times New Roman" w:hAnsi="Times New Roman" w:eastAsia="黑体" w:cs="Times New Roman"/>
                <w:bCs/>
                <w:sz w:val="28"/>
                <w:szCs w:val="28"/>
              </w:rPr>
            </w:pPr>
            <w:r>
              <w:rPr>
                <w:rFonts w:hint="eastAsia" w:ascii="Times New Roman" w:hAnsi="Times New Roman" w:eastAsia="黑体" w:cs="Times New Roman"/>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029" w:type="dxa"/>
            <w:vMerge w:val="restart"/>
            <w:vAlign w:val="center"/>
          </w:tcPr>
          <w:p>
            <w:pPr>
              <w:widowControl/>
              <w:ind w:firstLine="562" w:firstLineChars="20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入门版</w:t>
            </w:r>
          </w:p>
        </w:tc>
        <w:tc>
          <w:tcPr>
            <w:tcW w:w="6228" w:type="dxa"/>
            <w:vAlign w:val="center"/>
          </w:tcPr>
          <w:p>
            <w:pPr>
              <w:widowControl/>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存储量</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80TB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vMerge w:val="continue"/>
            <w:vAlign w:val="center"/>
          </w:tcPr>
          <w:p>
            <w:pPr>
              <w:widowControl/>
              <w:jc w:val="center"/>
              <w:rPr>
                <w:rFonts w:ascii="Times New Roman" w:hAnsi="Times New Roman" w:eastAsia="仿宋_GB2312" w:cs="Times New Roman"/>
                <w:b/>
                <w:sz w:val="28"/>
                <w:szCs w:val="28"/>
              </w:rPr>
            </w:pPr>
          </w:p>
        </w:tc>
        <w:tc>
          <w:tcPr>
            <w:tcW w:w="6228"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GPU个数</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vMerge w:val="continue"/>
            <w:vAlign w:val="center"/>
          </w:tcPr>
          <w:p>
            <w:pPr>
              <w:widowControl/>
              <w:jc w:val="center"/>
              <w:rPr>
                <w:rFonts w:ascii="Times New Roman" w:hAnsi="Times New Roman" w:eastAsia="仿宋_GB2312" w:cs="Times New Roman"/>
                <w:b/>
                <w:sz w:val="28"/>
                <w:szCs w:val="28"/>
              </w:rPr>
            </w:pPr>
          </w:p>
        </w:tc>
        <w:tc>
          <w:tcPr>
            <w:tcW w:w="6228" w:type="dxa"/>
            <w:vAlign w:val="center"/>
          </w:tcPr>
          <w:p>
            <w:pPr>
              <w:widowControl/>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支持的仿真场景</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vMerge w:val="restart"/>
            <w:vAlign w:val="center"/>
          </w:tcPr>
          <w:p>
            <w:pPr>
              <w:widowControl/>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标准版</w:t>
            </w:r>
          </w:p>
        </w:tc>
        <w:tc>
          <w:tcPr>
            <w:tcW w:w="6228" w:type="dxa"/>
            <w:vAlign w:val="center"/>
          </w:tcPr>
          <w:p>
            <w:pPr>
              <w:widowControl/>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存储量</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160TB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vMerge w:val="continue"/>
            <w:vAlign w:val="center"/>
          </w:tcPr>
          <w:p>
            <w:pPr>
              <w:widowControl/>
              <w:jc w:val="center"/>
              <w:rPr>
                <w:rFonts w:ascii="Times New Roman" w:hAnsi="Times New Roman" w:eastAsia="仿宋_GB2312" w:cs="Times New Roman"/>
                <w:b/>
                <w:sz w:val="28"/>
                <w:szCs w:val="28"/>
              </w:rPr>
            </w:pPr>
          </w:p>
        </w:tc>
        <w:tc>
          <w:tcPr>
            <w:tcW w:w="6228"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GPU个数</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vMerge w:val="continue"/>
            <w:vAlign w:val="center"/>
          </w:tcPr>
          <w:p>
            <w:pPr>
              <w:widowControl/>
              <w:jc w:val="center"/>
              <w:rPr>
                <w:rFonts w:ascii="Times New Roman" w:hAnsi="Times New Roman" w:eastAsia="仿宋_GB2312" w:cs="Times New Roman"/>
                <w:b/>
                <w:sz w:val="28"/>
                <w:szCs w:val="28"/>
              </w:rPr>
            </w:pPr>
          </w:p>
        </w:tc>
        <w:tc>
          <w:tcPr>
            <w:tcW w:w="6228" w:type="dxa"/>
            <w:vAlign w:val="center"/>
          </w:tcPr>
          <w:p>
            <w:pPr>
              <w:widowControl/>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支持的仿真场景</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vMerge w:val="restart"/>
            <w:vAlign w:val="center"/>
          </w:tcPr>
          <w:p>
            <w:pPr>
              <w:widowControl/>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升级版</w:t>
            </w:r>
          </w:p>
        </w:tc>
        <w:tc>
          <w:tcPr>
            <w:tcW w:w="6228" w:type="dxa"/>
            <w:vAlign w:val="center"/>
          </w:tcPr>
          <w:p>
            <w:pPr>
              <w:widowControl/>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存储量</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240TB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vMerge w:val="continue"/>
            <w:vAlign w:val="center"/>
          </w:tcPr>
          <w:p>
            <w:pPr>
              <w:widowControl/>
              <w:jc w:val="center"/>
              <w:rPr>
                <w:rFonts w:ascii="Times New Roman" w:hAnsi="Times New Roman" w:eastAsia="仿宋_GB2312" w:cs="Times New Roman"/>
                <w:sz w:val="28"/>
                <w:szCs w:val="28"/>
              </w:rPr>
            </w:pPr>
          </w:p>
        </w:tc>
        <w:tc>
          <w:tcPr>
            <w:tcW w:w="6228"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GPU个数</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029" w:type="dxa"/>
            <w:vMerge w:val="continue"/>
            <w:vAlign w:val="center"/>
          </w:tcPr>
          <w:p>
            <w:pPr>
              <w:widowControl/>
              <w:jc w:val="center"/>
              <w:rPr>
                <w:rFonts w:ascii="Times New Roman" w:hAnsi="Times New Roman" w:eastAsia="仿宋_GB2312" w:cs="Times New Roman"/>
                <w:sz w:val="28"/>
                <w:szCs w:val="28"/>
              </w:rPr>
            </w:pPr>
          </w:p>
        </w:tc>
        <w:tc>
          <w:tcPr>
            <w:tcW w:w="6228" w:type="dxa"/>
            <w:vAlign w:val="center"/>
          </w:tcPr>
          <w:p>
            <w:pPr>
              <w:widowControl/>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支持的仿真场景</w:t>
            </w:r>
          </w:p>
        </w:tc>
        <w:tc>
          <w:tcPr>
            <w:tcW w:w="5070" w:type="dxa"/>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3000--30000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327" w:type="dxa"/>
            <w:gridSpan w:val="3"/>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t>备注：</w:t>
            </w:r>
          </w:p>
          <w:p>
            <w:pPr>
              <w:jc w:val="lef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存储量可以进行动态分配，如发现企业长期使用量不足，智芯云途公司有权收回配额重新进行分配；</w:t>
            </w:r>
          </w:p>
          <w:p>
            <w:pPr>
              <w:jc w:val="left"/>
              <w:rPr>
                <w:rFonts w:ascii="Times New Roman" w:hAnsi="Times New Roman" w:eastAsia="仿宋_GB2312" w:cs="Times New Roman"/>
                <w:sz w:val="24"/>
              </w:rPr>
            </w:pPr>
            <w:r>
              <w:rPr>
                <w:rFonts w:ascii="Times New Roman" w:hAnsi="Times New Roman" w:eastAsia="仿宋_GB2312" w:cs="Times New Roman"/>
                <w:sz w:val="24"/>
              </w:rPr>
              <w:t>2. GPU</w:t>
            </w:r>
            <w:r>
              <w:rPr>
                <w:rFonts w:hint="eastAsia" w:ascii="Times New Roman" w:hAnsi="Times New Roman" w:eastAsia="仿宋_GB2312" w:cs="Times New Roman"/>
                <w:sz w:val="24"/>
              </w:rPr>
              <w:t>的使用量会按照时间维度进行统计，如</w:t>
            </w:r>
            <w:r>
              <w:rPr>
                <w:rFonts w:ascii="Times New Roman" w:hAnsi="Times New Roman" w:eastAsia="仿宋_GB2312" w:cs="Times New Roman"/>
                <w:sz w:val="24"/>
              </w:rPr>
              <w:t>GPU</w:t>
            </w:r>
            <w:r>
              <w:rPr>
                <w:rFonts w:hint="eastAsia" w:ascii="Times New Roman" w:hAnsi="Times New Roman" w:eastAsia="仿宋_GB2312" w:cs="Times New Roman"/>
                <w:sz w:val="24"/>
              </w:rPr>
              <w:t>长期没有分配训练任务，智芯云途公司可收回</w:t>
            </w:r>
            <w:r>
              <w:rPr>
                <w:rFonts w:ascii="Times New Roman" w:hAnsi="Times New Roman" w:eastAsia="仿宋_GB2312" w:cs="Times New Roman"/>
                <w:sz w:val="24"/>
              </w:rPr>
              <w:t>GPU</w:t>
            </w:r>
            <w:r>
              <w:rPr>
                <w:rFonts w:hint="eastAsia" w:ascii="Times New Roman" w:hAnsi="Times New Roman" w:eastAsia="仿宋_GB2312" w:cs="Times New Roman"/>
                <w:sz w:val="24"/>
              </w:rPr>
              <w:t>的配额并重新分配；</w:t>
            </w:r>
          </w:p>
          <w:p>
            <w:pPr>
              <w:jc w:val="left"/>
              <w:rPr>
                <w:rFonts w:ascii="Times New Roman" w:hAnsi="Times New Roman" w:eastAsia="仿宋_GB2312"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支持的仿真场景个数为并行仿真任务中能够同时测试的场景数，系统中保存的场景个数不受限制；</w:t>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4"/>
              </w:rPr>
              <w:t>4.</w:t>
            </w:r>
            <w:r>
              <w:rPr>
                <w:rFonts w:hint="eastAsia" w:ascii="Times New Roman" w:hAnsi="Times New Roman" w:eastAsia="仿宋_GB2312" w:cs="Times New Roman"/>
                <w:sz w:val="24"/>
              </w:rPr>
              <w:t>以上套餐内容及数量智芯云途公司有权根据云产品及服务资源的实际使用情况进行调整，相关解释权归湘江智能公司所有。</w:t>
            </w:r>
          </w:p>
        </w:tc>
      </w:tr>
    </w:tbl>
    <w:p>
      <w:pPr>
        <w:spacing w:line="360" w:lineRule="auto"/>
        <w:rPr>
          <w:rFonts w:ascii="Times New Roman" w:hAnsi="Times New Roman" w:eastAsia="仿宋_GB2312" w:cs="Times New Roman"/>
          <w:sz w:val="32"/>
          <w:szCs w:val="32"/>
        </w:rPr>
        <w:sectPr>
          <w:footerReference r:id="rId3" w:type="default"/>
          <w:pgSz w:w="16838" w:h="11906" w:orient="landscape"/>
          <w:pgMar w:top="1587" w:right="2098" w:bottom="1587" w:left="1984" w:header="851" w:footer="1587" w:gutter="0"/>
          <w:cols w:space="0" w:num="1"/>
          <w:docGrid w:type="lines" w:linePitch="323"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Fonts w:ascii="宋体" w:hAnsi="宋体" w:cs="宋体"/>
                              <w:sz w:val="28"/>
                              <w:szCs w:val="28"/>
                            </w:rPr>
                          </w:pPr>
                          <w:r>
                            <w:rPr>
                              <w:rStyle w:val="5"/>
                              <w:rFonts w:hint="eastAsia" w:ascii="宋体" w:hAnsi="宋体" w:cs="宋体"/>
                              <w:sz w:val="28"/>
                              <w:szCs w:val="28"/>
                            </w:rPr>
                            <w:t xml:space="preserve">— </w:t>
                          </w:r>
                          <w:r>
                            <w:rPr>
                              <w:rFonts w:hint="eastAsia" w:ascii="宋体" w:hAnsi="宋体" w:cs="宋体"/>
                              <w:sz w:val="28"/>
                              <w:szCs w:val="28"/>
                            </w:rPr>
                            <w:fldChar w:fldCharType="begin"/>
                          </w:r>
                          <w:r>
                            <w:rPr>
                              <w:rStyle w:val="5"/>
                              <w:rFonts w:hint="eastAsia" w:ascii="宋体" w:hAnsi="宋体" w:cs="宋体"/>
                              <w:sz w:val="28"/>
                              <w:szCs w:val="28"/>
                            </w:rPr>
                            <w:instrText xml:space="preserve"> PAGE </w:instrText>
                          </w:r>
                          <w:r>
                            <w:rPr>
                              <w:rFonts w:hint="eastAsia" w:ascii="宋体" w:hAnsi="宋体" w:cs="宋体"/>
                              <w:sz w:val="28"/>
                              <w:szCs w:val="28"/>
                            </w:rPr>
                            <w:fldChar w:fldCharType="separate"/>
                          </w:r>
                          <w:r>
                            <w:rPr>
                              <w:rStyle w:val="5"/>
                              <w:rFonts w:ascii="宋体" w:hAnsi="宋体" w:cs="宋体"/>
                              <w:sz w:val="28"/>
                              <w:szCs w:val="28"/>
                            </w:rPr>
                            <w:t>3</w:t>
                          </w:r>
                          <w:r>
                            <w:rPr>
                              <w:rFonts w:hint="eastAsia" w:ascii="宋体" w:hAnsi="宋体" w:cs="宋体"/>
                              <w:sz w:val="28"/>
                              <w:szCs w:val="28"/>
                            </w:rPr>
                            <w:fldChar w:fldCharType="end"/>
                          </w:r>
                          <w:r>
                            <w:rPr>
                              <w:rStyle w:val="5"/>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
                      <w:rPr>
                        <w:rStyle w:val="5"/>
                        <w:rFonts w:ascii="宋体" w:hAnsi="宋体" w:cs="宋体"/>
                        <w:sz w:val="28"/>
                        <w:szCs w:val="28"/>
                      </w:rPr>
                    </w:pPr>
                    <w:r>
                      <w:rPr>
                        <w:rStyle w:val="5"/>
                        <w:rFonts w:hint="eastAsia" w:ascii="宋体" w:hAnsi="宋体" w:cs="宋体"/>
                        <w:sz w:val="28"/>
                        <w:szCs w:val="28"/>
                      </w:rPr>
                      <w:t xml:space="preserve">— </w:t>
                    </w:r>
                    <w:r>
                      <w:rPr>
                        <w:rFonts w:hint="eastAsia" w:ascii="宋体" w:hAnsi="宋体" w:cs="宋体"/>
                        <w:sz w:val="28"/>
                        <w:szCs w:val="28"/>
                      </w:rPr>
                      <w:fldChar w:fldCharType="begin"/>
                    </w:r>
                    <w:r>
                      <w:rPr>
                        <w:rStyle w:val="5"/>
                        <w:rFonts w:hint="eastAsia" w:ascii="宋体" w:hAnsi="宋体" w:cs="宋体"/>
                        <w:sz w:val="28"/>
                        <w:szCs w:val="28"/>
                      </w:rPr>
                      <w:instrText xml:space="preserve"> PAGE </w:instrText>
                    </w:r>
                    <w:r>
                      <w:rPr>
                        <w:rFonts w:hint="eastAsia" w:ascii="宋体" w:hAnsi="宋体" w:cs="宋体"/>
                        <w:sz w:val="28"/>
                        <w:szCs w:val="28"/>
                      </w:rPr>
                      <w:fldChar w:fldCharType="separate"/>
                    </w:r>
                    <w:r>
                      <w:rPr>
                        <w:rStyle w:val="5"/>
                        <w:rFonts w:ascii="宋体" w:hAnsi="宋体" w:cs="宋体"/>
                        <w:sz w:val="28"/>
                        <w:szCs w:val="28"/>
                      </w:rPr>
                      <w:t>3</w:t>
                    </w:r>
                    <w:r>
                      <w:rPr>
                        <w:rFonts w:hint="eastAsia" w:ascii="宋体" w:hAnsi="宋体" w:cs="宋体"/>
                        <w:sz w:val="28"/>
                        <w:szCs w:val="28"/>
                      </w:rPr>
                      <w:fldChar w:fldCharType="end"/>
                    </w:r>
                    <w:r>
                      <w:rPr>
                        <w:rStyle w:val="5"/>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A5CC9"/>
    <w:rsid w:val="3DBA5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2021-05-10T02:52:00Z</dcterms:created>
  <dc:creator>Administrator</dc:creator>
  <cp:lastModifiedBy>Administrator</cp:lastModifiedBy>
  <dcterms:modified xsi:type="dcterms:W3CDTF">2021-05-10T02:52:29Z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